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6" w:rsidRPr="00885EEB" w:rsidRDefault="002039C2">
      <w:pPr>
        <w:rPr>
          <w:b/>
          <w:sz w:val="28"/>
          <w:szCs w:val="24"/>
          <w:lang w:val="en-US"/>
        </w:rPr>
      </w:pPr>
      <w:r w:rsidRPr="00885EEB">
        <w:rPr>
          <w:b/>
          <w:sz w:val="28"/>
          <w:szCs w:val="24"/>
          <w:lang w:val="en-US"/>
        </w:rPr>
        <w:t>Předběžný program kongresu Koagulace a Krvácení 2016 – seznam přednášek:</w:t>
      </w:r>
    </w:p>
    <w:p w:rsidR="002039C2" w:rsidRPr="00A11E17" w:rsidRDefault="003F5BBD">
      <w:pPr>
        <w:rPr>
          <w:b/>
          <w:sz w:val="24"/>
          <w:szCs w:val="24"/>
          <w:lang w:val="en-US"/>
        </w:rPr>
      </w:pPr>
      <w:r w:rsidRPr="00A11E17">
        <w:rPr>
          <w:b/>
          <w:sz w:val="24"/>
          <w:szCs w:val="24"/>
          <w:lang w:val="en-US"/>
        </w:rPr>
        <w:t>Čtvrtek 20.10.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Blok 1 -DIC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Martin Balík (Praha)</w:t>
      </w:r>
    </w:p>
    <w:p w:rsidR="00E10801" w:rsidRPr="000E00E4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Management krvácení z pohledu intenzivisty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Peter Salaj (Praha)</w:t>
      </w:r>
    </w:p>
    <w:p w:rsidR="00E10801" w:rsidRPr="000E00E4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Proč je dobře vědět, že ŽOK není DIC a DIC není ŽOK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Miroslav Durila (Praha)</w:t>
      </w:r>
    </w:p>
    <w:p w:rsidR="00E10801" w:rsidRPr="000E00E4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Rotem v managementu ŽOK a DIC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Eva Tesařová (Brno)</w:t>
      </w:r>
    </w:p>
    <w:p w:rsidR="00E10801" w:rsidRPr="000E00E4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Produkce kryoproteinu ošetřeného metodou redukce patogenů ve VFN Brno a jeho klinické využití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Blok 2 - TTP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Jan Loužil (Praha)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25. let zkušenosti s TTP v ÚHKT Praha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Zuzana Čermáková (Ostrava)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Hereditární TTP (syndrom Upshaw-Schulman): dispenzarizace a léčba pacientů v Krevním centru FN Ostrava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Ingrid Hrachovinová (Praha)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ADAMTS13 - význam laboratorního stanovení pro management pacientů se získanou formou TTP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Peter Turecek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Current and Evolving Therapeutic Options for hTTP Patients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Blok 3 - Získaný inhibitor FVII/FIX - Národní konsenzus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Peter Salaj (Praha)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Současný stav péče o pacienty se získaným inhibitorem v ČR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Andreas Tiede (Hannover)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Management of acquired hemophilia A: data from recent registries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Alessandro Gringeri (Vienna)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Diagnostics and treatment of Acquired Hemophilia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Zuzana Čermáková (Ostrava)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Doporučené postupy v diagnostice a léčbě pacientů se získanou hemofilií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Blok 4 - Novinky v terapii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Andreas Tiede (Hannover)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Turoctocog alfa: facts and figures about Novo Nordisk´s recombinant factor VIII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Alessandro Gringeri (Vienna)</w:t>
      </w:r>
    </w:p>
    <w:p w:rsidR="00E10801" w:rsidRPr="001D21C6" w:rsidRDefault="00E10801" w:rsidP="00E10801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t>Perspectives on VWD and Treatment: An Update on the BAX111 (rVWF)</w:t>
      </w:r>
    </w:p>
    <w:p w:rsidR="00E10801" w:rsidRPr="00E10801" w:rsidRDefault="00E10801" w:rsidP="00E108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color w:val="000000"/>
          <w:sz w:val="24"/>
          <w:szCs w:val="24"/>
          <w:lang w:eastAsia="cs-CZ"/>
        </w:rPr>
        <w:t>Cristina Solomon (Vienna)</w:t>
      </w:r>
    </w:p>
    <w:p w:rsidR="00E10801" w:rsidRPr="001D21C6" w:rsidRDefault="00E10801" w:rsidP="00E10801">
      <w:pPr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E10801">
        <w:rPr>
          <w:rFonts w:eastAsia="Times New Roman" w:cs="Calibri"/>
          <w:i/>
          <w:color w:val="000000"/>
          <w:sz w:val="24"/>
          <w:szCs w:val="24"/>
          <w:lang w:eastAsia="cs-CZ"/>
        </w:rPr>
        <w:lastRenderedPageBreak/>
        <w:t>The production technology development leading to the first recombinant FVIII (NUWIG) as the first product of human-cell origin licensed in Europe</w:t>
      </w:r>
    </w:p>
    <w:p w:rsidR="00FD6030" w:rsidRDefault="00FD6030" w:rsidP="00E10801">
      <w:pPr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FD6030" w:rsidRPr="00A11E17" w:rsidRDefault="00FD6030" w:rsidP="00FD603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Pátek</w:t>
      </w:r>
      <w:r w:rsidR="00670A6C">
        <w:rPr>
          <w:b/>
          <w:sz w:val="24"/>
          <w:szCs w:val="24"/>
          <w:lang w:val="en-US"/>
        </w:rPr>
        <w:t xml:space="preserve"> 21</w:t>
      </w:r>
      <w:bookmarkStart w:id="0" w:name="_GoBack"/>
      <w:bookmarkEnd w:id="0"/>
      <w:r w:rsidRPr="00A11E17">
        <w:rPr>
          <w:b/>
          <w:sz w:val="24"/>
          <w:szCs w:val="24"/>
          <w:lang w:val="en-US"/>
        </w:rPr>
        <w:t>.10.</w:t>
      </w:r>
    </w:p>
    <w:p w:rsidR="00A475DB" w:rsidRPr="00F9707F" w:rsidRDefault="00A475DB" w:rsidP="00A475DB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b/>
          <w:color w:val="000000"/>
          <w:sz w:val="24"/>
          <w:szCs w:val="24"/>
          <w:lang w:eastAsia="cs-CZ"/>
        </w:rPr>
        <w:t>Blok 5 - Terciární profylaxe - národní konsenzus</w:t>
      </w:r>
    </w:p>
    <w:p w:rsidR="00A475DB" w:rsidRP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color w:val="000000"/>
          <w:sz w:val="24"/>
          <w:szCs w:val="24"/>
          <w:lang w:eastAsia="cs-CZ"/>
        </w:rPr>
        <w:t>Lazslo Menes (Budapest)</w:t>
      </w:r>
    </w:p>
    <w:p w:rsidR="00A475DB" w:rsidRPr="001D21C6" w:rsidRDefault="00A475DB" w:rsidP="00A475DB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Hungarian experience with treatment of prophylaxis in adult severe hemophilia patients </w:t>
      </w:r>
    </w:p>
    <w:p w:rsidR="00A475DB" w:rsidRP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color w:val="000000"/>
          <w:sz w:val="24"/>
          <w:szCs w:val="24"/>
          <w:lang w:eastAsia="cs-CZ"/>
        </w:rPr>
        <w:t>Petr Smejkal (Brno)</w:t>
      </w:r>
    </w:p>
    <w:p w:rsidR="00A475DB" w:rsidRPr="00B5140A" w:rsidRDefault="00A475DB" w:rsidP="00A475DB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i/>
          <w:color w:val="000000"/>
          <w:sz w:val="24"/>
          <w:szCs w:val="24"/>
          <w:lang w:eastAsia="cs-CZ"/>
        </w:rPr>
        <w:t>Terciární profylaxe u dospělých pacientů v ČR - výsledky registru ČNHP</w:t>
      </w:r>
    </w:p>
    <w:p w:rsidR="00A475DB" w:rsidRP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color w:val="000000"/>
          <w:sz w:val="24"/>
          <w:szCs w:val="24"/>
          <w:lang w:eastAsia="cs-CZ"/>
        </w:rPr>
        <w:t>Peter Salaj (Praha)</w:t>
      </w:r>
    </w:p>
    <w:p w:rsidR="00A475DB" w:rsidRPr="00B5140A" w:rsidRDefault="00A475DB" w:rsidP="00A475DB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i/>
          <w:color w:val="000000"/>
          <w:sz w:val="24"/>
          <w:szCs w:val="24"/>
          <w:lang w:eastAsia="cs-CZ"/>
        </w:rPr>
        <w:t>Doporučené postupy pro profylaktickou terapii pacientů s hemofilii v dospělosti</w:t>
      </w:r>
    </w:p>
    <w:p w:rsid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A475DB" w:rsidRPr="00A55974" w:rsidRDefault="00A475DB" w:rsidP="00A475DB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b/>
          <w:color w:val="000000"/>
          <w:sz w:val="24"/>
          <w:szCs w:val="24"/>
          <w:lang w:eastAsia="cs-CZ"/>
        </w:rPr>
        <w:t>Blok 6 - vWD</w:t>
      </w:r>
    </w:p>
    <w:p w:rsidR="00A475DB" w:rsidRP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color w:val="000000"/>
          <w:sz w:val="24"/>
          <w:szCs w:val="24"/>
          <w:lang w:eastAsia="cs-CZ"/>
        </w:rPr>
        <w:t>Věra Geierová (Praha)</w:t>
      </w:r>
    </w:p>
    <w:p w:rsidR="00A475DB" w:rsidRPr="00B5140A" w:rsidRDefault="00A475DB" w:rsidP="00A475DB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i/>
          <w:color w:val="000000"/>
          <w:sz w:val="24"/>
          <w:szCs w:val="24"/>
          <w:lang w:eastAsia="cs-CZ"/>
        </w:rPr>
        <w:t>Willate - zkušenosti s terapií pacientů s vWD</w:t>
      </w:r>
    </w:p>
    <w:p w:rsidR="00A475DB" w:rsidRP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color w:val="000000"/>
          <w:sz w:val="24"/>
          <w:szCs w:val="24"/>
          <w:lang w:eastAsia="cs-CZ"/>
        </w:rPr>
        <w:t>Ingrid Hrachovinová (Praha)</w:t>
      </w:r>
    </w:p>
    <w:p w:rsidR="00A475DB" w:rsidRPr="00B5140A" w:rsidRDefault="00A475DB" w:rsidP="00A475DB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i/>
          <w:color w:val="000000"/>
          <w:sz w:val="24"/>
          <w:szCs w:val="24"/>
          <w:lang w:eastAsia="cs-CZ"/>
        </w:rPr>
        <w:t>Diferenciálni diagnostika substypu 2 von Willebrandovy choroby</w:t>
      </w:r>
    </w:p>
    <w:p w:rsidR="00A475DB" w:rsidRPr="00A475DB" w:rsidRDefault="00A475DB" w:rsidP="00A475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color w:val="000000"/>
          <w:sz w:val="24"/>
          <w:szCs w:val="24"/>
          <w:lang w:eastAsia="cs-CZ"/>
        </w:rPr>
        <w:t>Jan Blatný (Brno)</w:t>
      </w:r>
    </w:p>
    <w:p w:rsidR="00A475DB" w:rsidRPr="00B5140A" w:rsidRDefault="00A475DB" w:rsidP="00A475DB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A475DB">
        <w:rPr>
          <w:rFonts w:eastAsia="Times New Roman" w:cs="Calibri"/>
          <w:i/>
          <w:color w:val="000000"/>
          <w:sz w:val="24"/>
          <w:szCs w:val="24"/>
          <w:lang w:eastAsia="cs-CZ"/>
        </w:rPr>
        <w:t>DDAVP v léčbě hemofilie - návrat po 50 letech</w:t>
      </w:r>
    </w:p>
    <w:sectPr w:rsidR="00A475DB" w:rsidRPr="00B5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8D"/>
    <w:rsid w:val="000E00E4"/>
    <w:rsid w:val="001D21C6"/>
    <w:rsid w:val="002039C2"/>
    <w:rsid w:val="003A7286"/>
    <w:rsid w:val="003F5BBD"/>
    <w:rsid w:val="00670A6C"/>
    <w:rsid w:val="0068195E"/>
    <w:rsid w:val="00885EEB"/>
    <w:rsid w:val="00A11E17"/>
    <w:rsid w:val="00A475DB"/>
    <w:rsid w:val="00A55974"/>
    <w:rsid w:val="00B5140A"/>
    <w:rsid w:val="00D87A8D"/>
    <w:rsid w:val="00E10801"/>
    <w:rsid w:val="00F9707F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3177"/>
  <w15:chartTrackingRefBased/>
  <w15:docId w15:val="{31B7396B-D7C4-4A94-8A28-EBC588B8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02F5-C536-4220-B5D1-BCDE81F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brichacek</dc:creator>
  <cp:keywords/>
  <dc:description/>
  <cp:lastModifiedBy>petr brichacek</cp:lastModifiedBy>
  <cp:revision>17</cp:revision>
  <dcterms:created xsi:type="dcterms:W3CDTF">2016-09-21T07:50:00Z</dcterms:created>
  <dcterms:modified xsi:type="dcterms:W3CDTF">2016-09-21T08:50:00Z</dcterms:modified>
</cp:coreProperties>
</file>